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85" w:rsidRPr="00E633E9" w:rsidRDefault="00A90485" w:rsidP="00A90485">
      <w:pPr>
        <w:pStyle w:val="a3"/>
        <w:jc w:val="center"/>
        <w:rPr>
          <w:rFonts w:ascii="Times New Roman" w:hAnsi="Times New Roman" w:cs="Times New Roman"/>
          <w:b/>
          <w:sz w:val="28"/>
          <w:szCs w:val="28"/>
        </w:rPr>
      </w:pPr>
      <w:bookmarkStart w:id="0" w:name="_GoBack"/>
      <w:bookmarkEnd w:id="0"/>
      <w:r w:rsidRPr="00E633E9">
        <w:rPr>
          <w:rFonts w:ascii="Times New Roman" w:hAnsi="Times New Roman" w:cs="Times New Roman"/>
          <w:b/>
          <w:sz w:val="28"/>
          <w:szCs w:val="28"/>
        </w:rPr>
        <w:t>УКАЗ ПРЕЗИДЕНТА РЕСПУБЛИКИ БЕЛАРУСЬ</w:t>
      </w:r>
    </w:p>
    <w:p w:rsidR="00A90485" w:rsidRPr="00E633E9" w:rsidRDefault="00A90485" w:rsidP="00A90485">
      <w:pPr>
        <w:pStyle w:val="a3"/>
        <w:jc w:val="center"/>
        <w:rPr>
          <w:rFonts w:ascii="Times New Roman" w:hAnsi="Times New Roman" w:cs="Times New Roman"/>
          <w:b/>
          <w:sz w:val="28"/>
          <w:szCs w:val="28"/>
        </w:rPr>
      </w:pPr>
      <w:r w:rsidRPr="00E633E9">
        <w:rPr>
          <w:rFonts w:ascii="Times New Roman" w:hAnsi="Times New Roman" w:cs="Times New Roman"/>
          <w:b/>
          <w:sz w:val="28"/>
          <w:szCs w:val="28"/>
        </w:rPr>
        <w:t>18 мая 2020 г. № 171</w:t>
      </w:r>
    </w:p>
    <w:p w:rsidR="00A90485" w:rsidRPr="00E633E9" w:rsidRDefault="00A90485" w:rsidP="00A90485">
      <w:pPr>
        <w:pStyle w:val="a3"/>
        <w:jc w:val="center"/>
        <w:rPr>
          <w:rFonts w:ascii="Times New Roman" w:hAnsi="Times New Roman" w:cs="Times New Roman"/>
          <w:b/>
          <w:sz w:val="28"/>
          <w:szCs w:val="28"/>
        </w:rPr>
      </w:pPr>
      <w:r w:rsidRPr="00E633E9">
        <w:rPr>
          <w:rFonts w:ascii="Times New Roman" w:hAnsi="Times New Roman" w:cs="Times New Roman"/>
          <w:b/>
          <w:sz w:val="28"/>
          <w:szCs w:val="28"/>
        </w:rPr>
        <w:t>О социальной поддержке отдельных категорий граждан</w:t>
      </w:r>
    </w:p>
    <w:p w:rsidR="00A90485" w:rsidRPr="00E633E9" w:rsidRDefault="00A90485" w:rsidP="00A90485">
      <w:pPr>
        <w:pStyle w:val="a3"/>
        <w:jc w:val="center"/>
        <w:rPr>
          <w:rFonts w:ascii="Times New Roman" w:hAnsi="Times New Roman" w:cs="Times New Roman"/>
          <w:b/>
          <w:sz w:val="28"/>
          <w:szCs w:val="28"/>
        </w:rPr>
      </w:pPr>
    </w:p>
    <w:p w:rsidR="00A90485" w:rsidRPr="00E633E9" w:rsidRDefault="00A90485" w:rsidP="00C13146">
      <w:pPr>
        <w:pStyle w:val="a3"/>
        <w:rPr>
          <w:rFonts w:ascii="Times New Roman" w:hAnsi="Times New Roman" w:cs="Times New Roman"/>
          <w:sz w:val="28"/>
          <w:szCs w:val="28"/>
        </w:rPr>
      </w:pPr>
      <w:r w:rsidRPr="00E633E9">
        <w:rPr>
          <w:rFonts w:ascii="Times New Roman" w:hAnsi="Times New Roman" w:cs="Times New Roman"/>
          <w:sz w:val="28"/>
          <w:szCs w:val="28"/>
        </w:rPr>
        <w:tab/>
        <w:t xml:space="preserve"> В целях усиления социальной поддержки отдельных категорий граждан:</w:t>
      </w:r>
    </w:p>
    <w:p w:rsidR="00A90485" w:rsidRPr="00E633E9" w:rsidRDefault="00A90485" w:rsidP="00C13146">
      <w:pPr>
        <w:pStyle w:val="a3"/>
        <w:rPr>
          <w:rFonts w:ascii="Times New Roman" w:hAnsi="Times New Roman" w:cs="Times New Roman"/>
          <w:sz w:val="28"/>
          <w:szCs w:val="28"/>
        </w:rPr>
      </w:pPr>
      <w:r w:rsidRPr="00E633E9">
        <w:rPr>
          <w:rFonts w:ascii="Times New Roman" w:hAnsi="Times New Roman" w:cs="Times New Roman"/>
          <w:sz w:val="28"/>
          <w:szCs w:val="28"/>
        </w:rPr>
        <w:t xml:space="preserve"> </w:t>
      </w:r>
      <w:r w:rsidRPr="00E633E9">
        <w:rPr>
          <w:rFonts w:ascii="Times New Roman" w:hAnsi="Times New Roman" w:cs="Times New Roman"/>
          <w:sz w:val="28"/>
          <w:szCs w:val="28"/>
        </w:rPr>
        <w:tab/>
        <w:t xml:space="preserve">1. Установить, что: </w:t>
      </w:r>
    </w:p>
    <w:p w:rsidR="00A90485" w:rsidRPr="00E633E9" w:rsidRDefault="00A90485" w:rsidP="00C13146">
      <w:pPr>
        <w:pStyle w:val="a3"/>
        <w:rPr>
          <w:rFonts w:ascii="Times New Roman" w:hAnsi="Times New Roman" w:cs="Times New Roman"/>
          <w:sz w:val="28"/>
          <w:szCs w:val="28"/>
        </w:rPr>
      </w:pPr>
      <w:r w:rsidRPr="00E633E9">
        <w:rPr>
          <w:rFonts w:ascii="Times New Roman" w:hAnsi="Times New Roman" w:cs="Times New Roman"/>
          <w:sz w:val="28"/>
          <w:szCs w:val="28"/>
        </w:rPr>
        <w:tab/>
        <w:t xml:space="preserve">1.1. в стаж работы для назначения трудовых пенсий засчитываются периоды отпуска по уходу за ребенком и ухода за детьми до достижения ими возраста 3 лет, но не более 12 лет в общей сложности; </w:t>
      </w:r>
    </w:p>
    <w:p w:rsidR="00A90485" w:rsidRPr="00E633E9" w:rsidRDefault="00A90485" w:rsidP="00C13146">
      <w:pPr>
        <w:pStyle w:val="a3"/>
        <w:rPr>
          <w:rFonts w:ascii="Times New Roman" w:hAnsi="Times New Roman" w:cs="Times New Roman"/>
          <w:sz w:val="28"/>
          <w:szCs w:val="28"/>
        </w:rPr>
      </w:pPr>
      <w:r w:rsidRPr="00E633E9">
        <w:rPr>
          <w:rFonts w:ascii="Times New Roman" w:hAnsi="Times New Roman" w:cs="Times New Roman"/>
          <w:sz w:val="28"/>
          <w:szCs w:val="28"/>
        </w:rPr>
        <w:tab/>
        <w:t>1.2. трудовая пенсия по возрасту женщинам, родившим четверых детей и воспитавшим их до 8-летнего возраста, назначается по достижении общеустановленного пенсионного возраста и при наличии стажа работы не менее 20 лет, в том числе не менее 10 лет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страховой стаж);</w:t>
      </w:r>
    </w:p>
    <w:p w:rsidR="00A90485" w:rsidRPr="00E633E9" w:rsidRDefault="00A90485" w:rsidP="00C13146">
      <w:pPr>
        <w:pStyle w:val="a3"/>
        <w:rPr>
          <w:rFonts w:ascii="Times New Roman" w:hAnsi="Times New Roman" w:cs="Times New Roman"/>
          <w:sz w:val="28"/>
          <w:szCs w:val="28"/>
        </w:rPr>
      </w:pPr>
      <w:r w:rsidRPr="00E633E9">
        <w:rPr>
          <w:rFonts w:ascii="Times New Roman" w:hAnsi="Times New Roman" w:cs="Times New Roman"/>
          <w:sz w:val="28"/>
          <w:szCs w:val="28"/>
        </w:rPr>
        <w:tab/>
        <w:t xml:space="preserve"> 1.3. трудовая пенсия по случаю потери кормильца одному из родителей или супругу (супруге) либо деду, бабке, брату или сестре умершего кормильца, занятым уходом за детьми, братьями, сестрами либо внуками умершего кормильца, не достигшими 3 лет, назначается в случаях, когда они:</w:t>
      </w:r>
    </w:p>
    <w:p w:rsidR="00A90485" w:rsidRPr="00E633E9" w:rsidRDefault="00A90485" w:rsidP="00C13146">
      <w:pPr>
        <w:pStyle w:val="a3"/>
        <w:rPr>
          <w:rFonts w:ascii="Times New Roman" w:hAnsi="Times New Roman" w:cs="Times New Roman"/>
          <w:sz w:val="28"/>
          <w:szCs w:val="28"/>
        </w:rPr>
      </w:pPr>
      <w:r w:rsidRPr="00E633E9">
        <w:rPr>
          <w:rFonts w:ascii="Times New Roman" w:hAnsi="Times New Roman" w:cs="Times New Roman"/>
          <w:sz w:val="28"/>
          <w:szCs w:val="28"/>
        </w:rPr>
        <w:tab/>
        <w:t xml:space="preserve"> находятся в отпуске по уходу за ребенком (братом, сестрой,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 не являются индивидуальными предпринимателями, нотариусами, адвокатами, лицами, осуществляющими иные виды деятельности*;</w:t>
      </w:r>
    </w:p>
    <w:p w:rsidR="009C1F8C" w:rsidRPr="00E633E9" w:rsidRDefault="00A90485" w:rsidP="00C13146">
      <w:pPr>
        <w:pStyle w:val="a3"/>
        <w:pBdr>
          <w:bottom w:val="single" w:sz="12" w:space="1" w:color="auto"/>
        </w:pBdr>
        <w:rPr>
          <w:rFonts w:ascii="Times New Roman" w:hAnsi="Times New Roman" w:cs="Times New Roman"/>
          <w:sz w:val="28"/>
          <w:szCs w:val="28"/>
        </w:rPr>
      </w:pPr>
      <w:r w:rsidRPr="00E633E9">
        <w:rPr>
          <w:rFonts w:ascii="Times New Roman" w:hAnsi="Times New Roman" w:cs="Times New Roman"/>
          <w:sz w:val="28"/>
          <w:szCs w:val="28"/>
        </w:rPr>
        <w:tab/>
        <w:t xml:space="preserve"> </w:t>
      </w:r>
    </w:p>
    <w:p w:rsidR="009C1F8C" w:rsidRPr="00E633E9" w:rsidRDefault="009C1F8C" w:rsidP="00C13146">
      <w:pPr>
        <w:pStyle w:val="a3"/>
        <w:pBdr>
          <w:bottom w:val="single" w:sz="12" w:space="1" w:color="auto"/>
        </w:pBdr>
        <w:rPr>
          <w:rFonts w:ascii="Times New Roman" w:hAnsi="Times New Roman" w:cs="Times New Roman"/>
          <w:sz w:val="28"/>
          <w:szCs w:val="28"/>
        </w:rPr>
      </w:pPr>
    </w:p>
    <w:p w:rsidR="009C1F8C" w:rsidRPr="00E633E9" w:rsidRDefault="009C1F8C" w:rsidP="00C13146">
      <w:pPr>
        <w:pStyle w:val="a3"/>
        <w:pBdr>
          <w:bottom w:val="single" w:sz="12" w:space="1" w:color="auto"/>
        </w:pBdr>
        <w:rPr>
          <w:rFonts w:ascii="Times New Roman" w:hAnsi="Times New Roman" w:cs="Times New Roman"/>
          <w:sz w:val="28"/>
          <w:szCs w:val="28"/>
        </w:rPr>
      </w:pPr>
    </w:p>
    <w:p w:rsidR="009C1F8C" w:rsidRPr="00E633E9" w:rsidRDefault="009C1F8C" w:rsidP="00C13146">
      <w:pPr>
        <w:pStyle w:val="a3"/>
        <w:pBdr>
          <w:bottom w:val="single" w:sz="12" w:space="1" w:color="auto"/>
        </w:pBdr>
        <w:rPr>
          <w:rFonts w:ascii="Times New Roman" w:hAnsi="Times New Roman" w:cs="Times New Roman"/>
          <w:sz w:val="28"/>
          <w:szCs w:val="28"/>
        </w:rPr>
      </w:pPr>
    </w:p>
    <w:p w:rsidR="009C1F8C" w:rsidRPr="00E633E9" w:rsidRDefault="009C1F8C" w:rsidP="00C13146">
      <w:pPr>
        <w:pStyle w:val="a3"/>
        <w:pBdr>
          <w:bottom w:val="single" w:sz="12" w:space="1" w:color="auto"/>
        </w:pBdr>
        <w:rPr>
          <w:rFonts w:ascii="Times New Roman" w:hAnsi="Times New Roman" w:cs="Times New Roman"/>
          <w:sz w:val="28"/>
          <w:szCs w:val="28"/>
        </w:rPr>
      </w:pPr>
    </w:p>
    <w:p w:rsidR="009C1F8C" w:rsidRPr="00E633E9" w:rsidRDefault="009C1F8C" w:rsidP="00C13146">
      <w:pPr>
        <w:pStyle w:val="a3"/>
        <w:pBdr>
          <w:bottom w:val="single" w:sz="12" w:space="1" w:color="auto"/>
        </w:pBdr>
        <w:rPr>
          <w:rFonts w:ascii="Times New Roman" w:hAnsi="Times New Roman" w:cs="Times New Roman"/>
          <w:sz w:val="28"/>
          <w:szCs w:val="28"/>
        </w:rPr>
      </w:pPr>
    </w:p>
    <w:p w:rsidR="00A90485" w:rsidRPr="00E633E9" w:rsidRDefault="00A90485" w:rsidP="00A90485">
      <w:pPr>
        <w:pStyle w:val="a3"/>
        <w:rPr>
          <w:rFonts w:ascii="Times New Roman" w:hAnsi="Times New Roman" w:cs="Times New Roman"/>
          <w:sz w:val="24"/>
          <w:szCs w:val="24"/>
        </w:rPr>
      </w:pPr>
      <w:r w:rsidRPr="00E633E9">
        <w:rPr>
          <w:rFonts w:ascii="Times New Roman" w:hAnsi="Times New Roman" w:cs="Times New Roman"/>
          <w:sz w:val="28"/>
          <w:szCs w:val="28"/>
        </w:rPr>
        <w:tab/>
      </w:r>
      <w:r w:rsidRPr="00E633E9">
        <w:rPr>
          <w:rFonts w:ascii="Times New Roman" w:hAnsi="Times New Roman" w:cs="Times New Roman"/>
          <w:sz w:val="24"/>
          <w:szCs w:val="24"/>
        </w:rPr>
        <w:t xml:space="preserve">*Для целей настоящего Указа к лицам, осуществляющим иные виды деятельности, относятся лица, осуществляющие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деятельность по оказанию услуг в сфере </w:t>
      </w:r>
      <w:proofErr w:type="spellStart"/>
      <w:r w:rsidRPr="00E633E9">
        <w:rPr>
          <w:rFonts w:ascii="Times New Roman" w:hAnsi="Times New Roman" w:cs="Times New Roman"/>
          <w:sz w:val="24"/>
          <w:szCs w:val="24"/>
        </w:rPr>
        <w:t>агроэкотуризма</w:t>
      </w:r>
      <w:proofErr w:type="spellEnd"/>
      <w:r w:rsidRPr="00E633E9">
        <w:rPr>
          <w:rFonts w:ascii="Times New Roman" w:hAnsi="Times New Roman" w:cs="Times New Roman"/>
          <w:sz w:val="24"/>
          <w:szCs w:val="24"/>
        </w:rPr>
        <w:t xml:space="preserve"> без государственной регистрации в качестве индивидуальных предпринимателей. </w:t>
      </w:r>
    </w:p>
    <w:p w:rsidR="00A90485" w:rsidRPr="00E633E9" w:rsidRDefault="00A90485" w:rsidP="00C13146">
      <w:pPr>
        <w:pStyle w:val="a3"/>
        <w:rPr>
          <w:rFonts w:ascii="Times New Roman" w:hAnsi="Times New Roman" w:cs="Times New Roman"/>
          <w:sz w:val="28"/>
          <w:szCs w:val="28"/>
        </w:rPr>
      </w:pPr>
    </w:p>
    <w:p w:rsidR="009C1F8C" w:rsidRPr="00E633E9" w:rsidRDefault="00A90485" w:rsidP="00C13146">
      <w:pPr>
        <w:pStyle w:val="a3"/>
        <w:rPr>
          <w:rFonts w:ascii="Times New Roman" w:hAnsi="Times New Roman" w:cs="Times New Roman"/>
          <w:sz w:val="28"/>
          <w:szCs w:val="28"/>
        </w:rPr>
      </w:pPr>
      <w:r w:rsidRPr="00E633E9">
        <w:rPr>
          <w:rFonts w:ascii="Times New Roman" w:hAnsi="Times New Roman" w:cs="Times New Roman"/>
          <w:sz w:val="28"/>
          <w:szCs w:val="28"/>
        </w:rPr>
        <w:tab/>
      </w:r>
    </w:p>
    <w:p w:rsidR="009C1F8C" w:rsidRPr="00E633E9" w:rsidRDefault="009C1F8C"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lastRenderedPageBreak/>
        <w:t>являются индивидуальными предпринимателями, нотариусами, адвокатами, лицами, осуществляющими иные виды деятельности, и приостановили соответствующую деятельность в связи с уходом за ребенком (братом, сестрой, внуком) умершего кормильца в возрасте до 3 лет в порядке, установленном законодательством, либо не осуществляют предпринимательскую деятельность в связи с нахождением в процессе прекращения деятельности.</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Пенсия по случаю потери кормильца в случаях, предусмотренных в части первой настоящего подпункта, назначается также бывшему супругу (бывшей супруге) умершего кормильца при условии невступления в новый брак;</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1.4. гражданам, которые до достижения общеустановленного пенсионного возраста являлись инвалидами I и (или) II группы не менее 10 лет, страховой стаж, требуемый для назначения трудовой пенсии по возрасту на общих основаниях, снижается на 6 месяцев за каждый полный год нахождения на инвалидности I и (или) II группы. </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Трудовая пенсия по возрасту гражданам, которые до достижения общеустановленного пенсионного возраста являлись инвалидами I и (или) II группы не менее 21 года, назначается при наличии страхового стажа не менее 5 лет. </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Трудовая пенсия по возрасту в соответствии с настоящим подпунктом назначается при наличии стажа работы не менее 20 лет у мужчин и не менее 15 лет у женщин;</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1.5. трудовая пенсия по возрасту инвалидам с детства I и II группы в соответствии со статьей 22 Закона Республики Беларусь от 17 апреля 1992 г. № 1596-XII «О пенсионном обеспечении» назначается при наличии страхового стажа не менее 5 лет и стажа работы не менее 20 лет у мужчин и не менее 15 лет у женщин; </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1.6. гражданам, достигшим возраста 65 лет – мужчины, 60 лет – женщины, не имеющим требуемого страхового стажа для назначения трудовой пенсии по возрасту на общих основаниях, при наличии не менее 10 лет страхового стажа назначается трудовая пенсия по возрасту при неполном страховом стаже. </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Пенсия назначается в размере 73 процентов наибольшей величины установленного Министерством труда и социальной защиты бюджета прожиточного минимума пенсионера за 2 последних квартала (далее – бюджет прожиточного минимума пенсионера). </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За каждый полный год страхового стажа сверх 10 лет пенсия дополнительно увеличивается на 3 процента указанной величины, но не более чем до 100 процентов этой величины;</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1.7. социальная пенсия, предусмотренная в абзаце третьем части первой статьи 72 Закона Республики Беларусь «О пенсионном обеспечении», матерям и (или) отцам </w:t>
      </w:r>
      <w:proofErr w:type="spellStart"/>
      <w:r w:rsidRPr="00E633E9">
        <w:rPr>
          <w:rFonts w:ascii="Times New Roman" w:hAnsi="Times New Roman" w:cs="Times New Roman"/>
          <w:sz w:val="28"/>
          <w:szCs w:val="28"/>
        </w:rPr>
        <w:t>детейинвалидов</w:t>
      </w:r>
      <w:proofErr w:type="spellEnd"/>
      <w:r w:rsidRPr="00E633E9">
        <w:rPr>
          <w:rFonts w:ascii="Times New Roman" w:hAnsi="Times New Roman" w:cs="Times New Roman"/>
          <w:sz w:val="28"/>
          <w:szCs w:val="28"/>
        </w:rPr>
        <w:t xml:space="preserve">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w:t>
      </w:r>
      <w:r w:rsidRPr="00E633E9">
        <w:rPr>
          <w:rFonts w:ascii="Times New Roman" w:hAnsi="Times New Roman" w:cs="Times New Roman"/>
          <w:sz w:val="28"/>
          <w:szCs w:val="28"/>
        </w:rPr>
        <w:lastRenderedPageBreak/>
        <w:t xml:space="preserve">осуществлял уход за ними не менее 20 лет, назначается в размере 130 процентов бюджета прожиточного минимума пенсионера; </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1.8. предоставляется бесплатно одна попытка экстракорпорального оплодотворения* в государственных организациях здравоохранения при наличии медицинских показаний и отсутствии медицинских противопоказаний, определенных Министерством здравоохранения, исключительно супружеским парам, в которых оба супруга являются гражданами Республики Беларусь и возраст супруги не превышает 40 лет</w:t>
      </w:r>
      <w:r w:rsidR="009C1F8C" w:rsidRPr="00E633E9">
        <w:rPr>
          <w:rFonts w:ascii="Times New Roman" w:hAnsi="Times New Roman" w:cs="Times New Roman"/>
          <w:sz w:val="28"/>
          <w:szCs w:val="28"/>
        </w:rPr>
        <w:t>.</w:t>
      </w:r>
    </w:p>
    <w:p w:rsidR="009C1F8C"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Порядок и условия бесплатного предоставления одной попытки экстракорпорального оплодотворения, перечень государственных организаций здравоохранения, в которых проводится экстракорпоральное оплодотворение за счет бюджетных средств, определяются Советом Министров Республики Беларусь.</w:t>
      </w:r>
    </w:p>
    <w:p w:rsidR="009C1F8C" w:rsidRPr="00E633E9" w:rsidRDefault="009C1F8C"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2. Трудовые пенсии, назначенные до 1 января 2021 г., </w:t>
      </w:r>
      <w:proofErr w:type="spellStart"/>
      <w:r w:rsidRPr="00E633E9">
        <w:rPr>
          <w:rFonts w:ascii="Times New Roman" w:hAnsi="Times New Roman" w:cs="Times New Roman"/>
          <w:sz w:val="28"/>
          <w:szCs w:val="28"/>
        </w:rPr>
        <w:t>перерассчитываются</w:t>
      </w:r>
      <w:proofErr w:type="spellEnd"/>
      <w:r w:rsidRPr="00E633E9">
        <w:rPr>
          <w:rFonts w:ascii="Times New Roman" w:hAnsi="Times New Roman" w:cs="Times New Roman"/>
          <w:sz w:val="28"/>
          <w:szCs w:val="28"/>
        </w:rPr>
        <w:t xml:space="preserve"> в связи с изменением стажа работы для назначения трудовой пенсии по основанию, предусмотренному в подпункте 1.1 пункта 1 настоящего Указа, с 1-го числа месяца, следующего за месяцем, в котором пенсионер обратился за перерасчетом пенсии в установленном законодательством порядке.</w:t>
      </w:r>
    </w:p>
    <w:p w:rsidR="009C1F8C" w:rsidRPr="00E633E9" w:rsidRDefault="009C1F8C"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3. Внести изменения в Указ Президента Республики Беларусь от 19 января 2012 г. № 41 «О государственной адресной социальной помощи» (приложение).</w:t>
      </w:r>
    </w:p>
    <w:p w:rsidR="009C1F8C" w:rsidRPr="00E633E9" w:rsidRDefault="009C1F8C"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4. Финансирование расходов по реализации подпунктов 1.1–1.6 пункта 1 настоящего Указа осуществляется за счет средств бюджета государственного внебюджетного фонда социальной защиты населения Республики Беларусь. При этом бюджету данного фонда возмещаются за счет средств республиканского бюджета расходы на выплату пенсий, назначенных в соответствии с подпунктом 1.6 пункта 1 настоящего Указа, в размере социальной пенсии, установленном в абзаце шестом статьи 73 Закона Республики Беларусь «О пенсионном обеспечении».</w:t>
      </w:r>
    </w:p>
    <w:p w:rsidR="009C1F8C" w:rsidRPr="00E633E9" w:rsidRDefault="00E633E9"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Финансирование расходов на экстракорпоральное оплодотворение в соответствии с подпунктом 1.8 пункта 1 настоящего Указа осуществляется за счет средств республиканского бюджета в порядке, определяемом Министерством здравоохранения.</w:t>
      </w:r>
    </w:p>
    <w:p w:rsidR="009C1F8C" w:rsidRDefault="009C1F8C" w:rsidP="009C1F8C">
      <w:pPr>
        <w:pStyle w:val="a3"/>
        <w:pBdr>
          <w:bottom w:val="single" w:sz="12" w:space="1" w:color="auto"/>
        </w:pBdr>
        <w:ind w:firstLine="708"/>
        <w:rPr>
          <w:rFonts w:ascii="Times New Roman" w:hAnsi="Times New Roman" w:cs="Times New Roman"/>
          <w:sz w:val="28"/>
          <w:szCs w:val="28"/>
        </w:rPr>
      </w:pPr>
    </w:p>
    <w:p w:rsidR="00E633E9" w:rsidRDefault="00E633E9" w:rsidP="009C1F8C">
      <w:pPr>
        <w:pStyle w:val="a3"/>
        <w:pBdr>
          <w:bottom w:val="single" w:sz="12" w:space="1" w:color="auto"/>
        </w:pBdr>
        <w:ind w:firstLine="708"/>
        <w:rPr>
          <w:rFonts w:ascii="Times New Roman" w:hAnsi="Times New Roman" w:cs="Times New Roman"/>
          <w:sz w:val="28"/>
          <w:szCs w:val="28"/>
        </w:rPr>
      </w:pPr>
    </w:p>
    <w:p w:rsidR="00E633E9" w:rsidRDefault="00E633E9" w:rsidP="009C1F8C">
      <w:pPr>
        <w:pStyle w:val="a3"/>
        <w:pBdr>
          <w:bottom w:val="single" w:sz="12" w:space="1" w:color="auto"/>
        </w:pBdr>
        <w:ind w:firstLine="708"/>
        <w:rPr>
          <w:rFonts w:ascii="Times New Roman" w:hAnsi="Times New Roman" w:cs="Times New Roman"/>
          <w:sz w:val="28"/>
          <w:szCs w:val="28"/>
        </w:rPr>
      </w:pPr>
    </w:p>
    <w:p w:rsidR="00E633E9" w:rsidRDefault="00E633E9" w:rsidP="009C1F8C">
      <w:pPr>
        <w:pStyle w:val="a3"/>
        <w:pBdr>
          <w:bottom w:val="single" w:sz="12" w:space="1" w:color="auto"/>
        </w:pBdr>
        <w:ind w:firstLine="708"/>
        <w:rPr>
          <w:rFonts w:ascii="Times New Roman" w:hAnsi="Times New Roman" w:cs="Times New Roman"/>
          <w:sz w:val="28"/>
          <w:szCs w:val="28"/>
        </w:rPr>
      </w:pPr>
    </w:p>
    <w:p w:rsidR="00E633E9" w:rsidRPr="00E633E9" w:rsidRDefault="00E633E9" w:rsidP="009C1F8C">
      <w:pPr>
        <w:pStyle w:val="a3"/>
        <w:pBdr>
          <w:bottom w:val="single" w:sz="12" w:space="1" w:color="auto"/>
        </w:pBdr>
        <w:ind w:firstLine="708"/>
        <w:rPr>
          <w:rFonts w:ascii="Times New Roman" w:hAnsi="Times New Roman" w:cs="Times New Roman"/>
          <w:sz w:val="28"/>
          <w:szCs w:val="28"/>
        </w:rPr>
      </w:pPr>
    </w:p>
    <w:p w:rsidR="009C1F8C" w:rsidRPr="00E633E9" w:rsidRDefault="009C1F8C" w:rsidP="009C1F8C">
      <w:pPr>
        <w:pStyle w:val="a3"/>
        <w:pBdr>
          <w:bottom w:val="single" w:sz="12" w:space="1" w:color="auto"/>
        </w:pBdr>
        <w:ind w:firstLine="708"/>
        <w:rPr>
          <w:rFonts w:ascii="Times New Roman" w:hAnsi="Times New Roman" w:cs="Times New Roman"/>
          <w:sz w:val="28"/>
          <w:szCs w:val="28"/>
        </w:rPr>
      </w:pPr>
    </w:p>
    <w:p w:rsidR="00E633E9" w:rsidRDefault="00A90485" w:rsidP="009C1F8C">
      <w:pPr>
        <w:pStyle w:val="a3"/>
        <w:pBdr>
          <w:bottom w:val="single" w:sz="12" w:space="1" w:color="auto"/>
        </w:pBdr>
        <w:ind w:firstLine="708"/>
        <w:rPr>
          <w:rFonts w:ascii="Times New Roman" w:hAnsi="Times New Roman" w:cs="Times New Roman"/>
          <w:sz w:val="24"/>
          <w:szCs w:val="24"/>
        </w:rPr>
      </w:pPr>
      <w:r w:rsidRPr="00E633E9">
        <w:rPr>
          <w:rFonts w:ascii="Times New Roman" w:hAnsi="Times New Roman" w:cs="Times New Roman"/>
          <w:sz w:val="28"/>
          <w:szCs w:val="28"/>
        </w:rPr>
        <w:t xml:space="preserve"> </w:t>
      </w:r>
      <w:r w:rsidRPr="00E633E9">
        <w:rPr>
          <w:rFonts w:ascii="Times New Roman" w:hAnsi="Times New Roman" w:cs="Times New Roman"/>
          <w:sz w:val="24"/>
          <w:szCs w:val="24"/>
        </w:rPr>
        <w:t>______________________________ * За исключением процедуры экстракорпорального оплодотворения с использованием донорских половых клеток</w:t>
      </w:r>
    </w:p>
    <w:p w:rsidR="00E633E9" w:rsidRDefault="00E633E9" w:rsidP="009C1F8C">
      <w:pPr>
        <w:pStyle w:val="a3"/>
        <w:pBdr>
          <w:bottom w:val="single" w:sz="12" w:space="1" w:color="auto"/>
        </w:pBdr>
        <w:ind w:firstLine="708"/>
        <w:rPr>
          <w:rFonts w:ascii="Times New Roman" w:hAnsi="Times New Roman" w:cs="Times New Roman"/>
          <w:sz w:val="24"/>
          <w:szCs w:val="24"/>
        </w:rPr>
      </w:pPr>
    </w:p>
    <w:p w:rsidR="00E633E9" w:rsidRPr="00E633E9" w:rsidRDefault="009C1F8C"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4"/>
          <w:szCs w:val="24"/>
        </w:rPr>
        <w:lastRenderedPageBreak/>
        <w:t xml:space="preserve"> </w:t>
      </w:r>
      <w:r w:rsidR="00A90485" w:rsidRPr="00E633E9">
        <w:rPr>
          <w:rFonts w:ascii="Times New Roman" w:hAnsi="Times New Roman" w:cs="Times New Roman"/>
          <w:sz w:val="28"/>
          <w:szCs w:val="28"/>
        </w:rPr>
        <w:t xml:space="preserve">5. Совету Министров Республики Беларусь в трехмесячный срок обеспечить приведение актов законодательства в соответствие с настоящим Указом. </w:t>
      </w:r>
    </w:p>
    <w:p w:rsidR="00E633E9"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6. Настоящий Указ вступает в силу в следующем порядке:</w:t>
      </w:r>
    </w:p>
    <w:p w:rsidR="00E633E9"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пункт 3 – с 1 сентября 2020 г.;</w:t>
      </w:r>
    </w:p>
    <w:p w:rsidR="00E633E9"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пункты 1, 2 и 4 – с 1 января 2021 г.; </w:t>
      </w:r>
    </w:p>
    <w:p w:rsidR="00E633E9"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иные положения настоящего Указа – после его официального опубликования.</w:t>
      </w:r>
    </w:p>
    <w:p w:rsidR="00E633E9" w:rsidRPr="00E633E9" w:rsidRDefault="00E633E9" w:rsidP="009C1F8C">
      <w:pPr>
        <w:pStyle w:val="a3"/>
        <w:pBdr>
          <w:bottom w:val="single" w:sz="12" w:space="1" w:color="auto"/>
        </w:pBdr>
        <w:ind w:firstLine="708"/>
        <w:rPr>
          <w:rFonts w:ascii="Times New Roman" w:hAnsi="Times New Roman" w:cs="Times New Roman"/>
          <w:sz w:val="28"/>
          <w:szCs w:val="28"/>
        </w:rPr>
      </w:pPr>
    </w:p>
    <w:p w:rsidR="00E633E9" w:rsidRPr="00E633E9" w:rsidRDefault="00A90485" w:rsidP="009C1F8C">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Президент Республики Беларусь </w:t>
      </w:r>
      <w:r w:rsidR="00E633E9" w:rsidRPr="00E633E9">
        <w:rPr>
          <w:rFonts w:ascii="Times New Roman" w:hAnsi="Times New Roman" w:cs="Times New Roman"/>
          <w:sz w:val="28"/>
          <w:szCs w:val="28"/>
        </w:rPr>
        <w:t xml:space="preserve">                      </w:t>
      </w:r>
      <w:r w:rsidRPr="00E633E9">
        <w:rPr>
          <w:rFonts w:ascii="Times New Roman" w:hAnsi="Times New Roman" w:cs="Times New Roman"/>
          <w:sz w:val="28"/>
          <w:szCs w:val="28"/>
        </w:rPr>
        <w:t xml:space="preserve">А.Лукашенко </w:t>
      </w:r>
    </w:p>
    <w:p w:rsidR="00E633E9" w:rsidRPr="00E633E9" w:rsidRDefault="00E633E9" w:rsidP="009C1F8C">
      <w:pPr>
        <w:pStyle w:val="a3"/>
        <w:pBdr>
          <w:bottom w:val="single" w:sz="12" w:space="1" w:color="auto"/>
        </w:pBdr>
        <w:ind w:firstLine="708"/>
        <w:rPr>
          <w:rFonts w:ascii="Times New Roman" w:hAnsi="Times New Roman" w:cs="Times New Roman"/>
          <w:sz w:val="28"/>
          <w:szCs w:val="28"/>
        </w:rPr>
      </w:pPr>
    </w:p>
    <w:p w:rsidR="00E633E9" w:rsidRPr="00E633E9" w:rsidRDefault="00E633E9" w:rsidP="009C1F8C">
      <w:pPr>
        <w:pStyle w:val="a3"/>
        <w:pBdr>
          <w:bottom w:val="single" w:sz="12" w:space="1" w:color="auto"/>
        </w:pBdr>
        <w:ind w:firstLine="708"/>
        <w:rPr>
          <w:rFonts w:ascii="Times New Roman" w:hAnsi="Times New Roman" w:cs="Times New Roman"/>
          <w:sz w:val="28"/>
          <w:szCs w:val="28"/>
        </w:rPr>
      </w:pPr>
    </w:p>
    <w:p w:rsidR="00E633E9" w:rsidRPr="00E633E9" w:rsidRDefault="00A90485" w:rsidP="00E633E9">
      <w:pPr>
        <w:pStyle w:val="a3"/>
        <w:pBdr>
          <w:bottom w:val="single" w:sz="12" w:space="1" w:color="auto"/>
        </w:pBdr>
        <w:ind w:firstLine="708"/>
        <w:rPr>
          <w:rFonts w:ascii="Times New Roman" w:hAnsi="Times New Roman" w:cs="Times New Roman"/>
          <w:sz w:val="28"/>
          <w:szCs w:val="28"/>
        </w:rPr>
      </w:pPr>
      <w:r w:rsidRPr="00E633E9">
        <w:rPr>
          <w:rFonts w:ascii="Times New Roman" w:hAnsi="Times New Roman" w:cs="Times New Roman"/>
          <w:sz w:val="28"/>
          <w:szCs w:val="28"/>
        </w:rPr>
        <w:t xml:space="preserve"> </w:t>
      </w:r>
    </w:p>
    <w:p w:rsidR="0079522D" w:rsidRPr="00E633E9" w:rsidRDefault="0079522D" w:rsidP="009C1F8C">
      <w:pPr>
        <w:pStyle w:val="a3"/>
        <w:pBdr>
          <w:bottom w:val="single" w:sz="12" w:space="1" w:color="auto"/>
        </w:pBdr>
        <w:ind w:firstLine="708"/>
        <w:rPr>
          <w:rFonts w:ascii="Times New Roman" w:hAnsi="Times New Roman" w:cs="Times New Roman"/>
          <w:sz w:val="28"/>
          <w:szCs w:val="28"/>
        </w:rPr>
      </w:pPr>
    </w:p>
    <w:p w:rsidR="00A90485" w:rsidRPr="00E633E9" w:rsidRDefault="00A90485">
      <w:pPr>
        <w:pStyle w:val="a3"/>
        <w:rPr>
          <w:rFonts w:ascii="Times New Roman" w:hAnsi="Times New Roman" w:cs="Times New Roman"/>
          <w:sz w:val="28"/>
          <w:szCs w:val="28"/>
        </w:rPr>
      </w:pPr>
    </w:p>
    <w:sectPr w:rsidR="00A90485" w:rsidRPr="00E633E9" w:rsidSect="00C13146">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4A"/>
    <w:rsid w:val="0041158A"/>
    <w:rsid w:val="0079522D"/>
    <w:rsid w:val="009C1F8C"/>
    <w:rsid w:val="00A90485"/>
    <w:rsid w:val="00AD2268"/>
    <w:rsid w:val="00C13146"/>
    <w:rsid w:val="00D9334A"/>
    <w:rsid w:val="00DE3C95"/>
    <w:rsid w:val="00E6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4C9C3-5679-4DD0-815E-9FF5573F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3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13146"/>
    <w:pPr>
      <w:spacing w:after="0" w:line="240" w:lineRule="auto"/>
    </w:pPr>
    <w:rPr>
      <w:rFonts w:ascii="Consolas" w:hAnsi="Consolas"/>
      <w:sz w:val="21"/>
      <w:szCs w:val="21"/>
    </w:rPr>
  </w:style>
  <w:style w:type="character" w:customStyle="1" w:styleId="a4">
    <w:name w:val="Текст Знак"/>
    <w:basedOn w:val="a0"/>
    <w:link w:val="a3"/>
    <w:uiPriority w:val="99"/>
    <w:rsid w:val="00C1314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8AC1-A491-4042-9681-F092710F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 Юрьевич Ивчик</cp:lastModifiedBy>
  <cp:revision>2</cp:revision>
  <dcterms:created xsi:type="dcterms:W3CDTF">2023-04-19T10:35:00Z</dcterms:created>
  <dcterms:modified xsi:type="dcterms:W3CDTF">2023-04-19T10:35:00Z</dcterms:modified>
</cp:coreProperties>
</file>